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549F" w14:textId="77777777" w:rsidR="0011682C" w:rsidRPr="00155381" w:rsidRDefault="0011682C" w:rsidP="0011682C">
      <w:pPr>
        <w:jc w:val="center"/>
        <w:rPr>
          <w:rFonts w:asciiTheme="majorHAnsi" w:hAnsiTheme="majorHAnsi"/>
          <w:sz w:val="24"/>
          <w:szCs w:val="24"/>
        </w:rPr>
      </w:pPr>
      <w:r w:rsidRPr="00155381">
        <w:rPr>
          <w:rFonts w:asciiTheme="majorHAnsi" w:hAnsiTheme="majorHAnsi"/>
          <w:sz w:val="24"/>
          <w:szCs w:val="24"/>
        </w:rPr>
        <w:t>Interim Assessments and NWEA MAP Growth:</w:t>
      </w:r>
    </w:p>
    <w:p w14:paraId="27F7DBF4" w14:textId="5DF9F0C6" w:rsidR="00DC1969" w:rsidRDefault="00155381">
      <w:pPr>
        <w:rPr>
          <w:rFonts w:asciiTheme="majorHAnsi" w:hAnsiTheme="majorHAnsi"/>
          <w:sz w:val="24"/>
          <w:szCs w:val="24"/>
        </w:rPr>
      </w:pPr>
      <w:r w:rsidRPr="00155381">
        <w:rPr>
          <w:rFonts w:asciiTheme="majorHAnsi" w:hAnsiTheme="majorHAnsi"/>
          <w:sz w:val="24"/>
          <w:szCs w:val="24"/>
        </w:rPr>
        <w:t>Purpose of GCS Formative Assessments GCS Local Formative Assessments are designed to assess student understanding of concepts during instruction so that instructional modifications may be made prior to summative assessment of specific content.</w:t>
      </w:r>
    </w:p>
    <w:p w14:paraId="688F8580" w14:textId="43983511" w:rsidR="00155381" w:rsidRDefault="00155381" w:rsidP="00155381">
      <w:pPr>
        <w:jc w:val="center"/>
        <w:rPr>
          <w:rFonts w:asciiTheme="majorHAnsi" w:hAnsiTheme="majorHAnsi"/>
          <w:sz w:val="24"/>
          <w:szCs w:val="24"/>
        </w:rPr>
      </w:pPr>
      <w:r>
        <w:rPr>
          <w:rFonts w:asciiTheme="majorHAnsi" w:hAnsiTheme="majorHAnsi"/>
          <w:sz w:val="24"/>
          <w:szCs w:val="24"/>
        </w:rPr>
        <w:t>NWEA Testing Windows</w:t>
      </w:r>
    </w:p>
    <w:p w14:paraId="33BFC965" w14:textId="121BAA03" w:rsidR="00155381" w:rsidRDefault="00155381" w:rsidP="00155381">
      <w:pPr>
        <w:rPr>
          <w:rFonts w:asciiTheme="majorHAnsi" w:hAnsiTheme="majorHAnsi"/>
          <w:sz w:val="24"/>
          <w:szCs w:val="24"/>
        </w:rPr>
      </w:pPr>
      <w:r>
        <w:rPr>
          <w:rFonts w:asciiTheme="majorHAnsi" w:hAnsiTheme="majorHAnsi"/>
          <w:sz w:val="24"/>
          <w:szCs w:val="24"/>
        </w:rPr>
        <w:t>Fall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September 16 – October 4</w:t>
      </w:r>
    </w:p>
    <w:p w14:paraId="5D1570DB" w14:textId="7DD9EFBC" w:rsidR="00155381" w:rsidRDefault="00155381" w:rsidP="00155381">
      <w:pPr>
        <w:rPr>
          <w:rFonts w:asciiTheme="majorHAnsi" w:hAnsiTheme="majorHAnsi"/>
          <w:sz w:val="24"/>
          <w:szCs w:val="24"/>
        </w:rPr>
      </w:pPr>
      <w:r>
        <w:rPr>
          <w:rFonts w:asciiTheme="majorHAnsi" w:hAnsiTheme="majorHAnsi"/>
          <w:sz w:val="24"/>
          <w:szCs w:val="24"/>
        </w:rPr>
        <w:t>Winter</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January 13 – February 5</w:t>
      </w:r>
    </w:p>
    <w:p w14:paraId="1CF8BA24" w14:textId="0746E4A2" w:rsidR="00155381" w:rsidRDefault="00155381" w:rsidP="00155381">
      <w:pPr>
        <w:rPr>
          <w:rFonts w:asciiTheme="majorHAnsi" w:hAnsiTheme="majorHAnsi"/>
          <w:sz w:val="24"/>
          <w:szCs w:val="24"/>
        </w:rPr>
      </w:pPr>
      <w:r>
        <w:rPr>
          <w:rFonts w:asciiTheme="majorHAnsi" w:hAnsiTheme="majorHAnsi"/>
          <w:sz w:val="24"/>
          <w:szCs w:val="24"/>
        </w:rPr>
        <w:t>Spring</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March 24 – April 11</w:t>
      </w:r>
    </w:p>
    <w:p w14:paraId="220EF075" w14:textId="77777777" w:rsidR="007A4B30" w:rsidRDefault="007A4B30" w:rsidP="00155381">
      <w:pPr>
        <w:rPr>
          <w:rFonts w:asciiTheme="majorHAnsi" w:hAnsiTheme="majorHAnsi"/>
          <w:sz w:val="24"/>
          <w:szCs w:val="24"/>
        </w:rPr>
      </w:pPr>
    </w:p>
    <w:p w14:paraId="4FA46008" w14:textId="216F82D4" w:rsidR="00155381" w:rsidRDefault="00155381" w:rsidP="00155381">
      <w:pPr>
        <w:jc w:val="center"/>
        <w:rPr>
          <w:rFonts w:asciiTheme="majorHAnsi" w:hAnsiTheme="majorHAnsi"/>
          <w:sz w:val="24"/>
          <w:szCs w:val="24"/>
        </w:rPr>
      </w:pPr>
      <w:r>
        <w:rPr>
          <w:rFonts w:asciiTheme="majorHAnsi" w:hAnsiTheme="majorHAnsi"/>
          <w:sz w:val="24"/>
          <w:szCs w:val="24"/>
        </w:rPr>
        <w:t xml:space="preserve">Interim Assessment </w:t>
      </w:r>
      <w:r w:rsidR="00E73E0F">
        <w:rPr>
          <w:rFonts w:asciiTheme="majorHAnsi" w:hAnsiTheme="majorHAnsi"/>
          <w:sz w:val="24"/>
          <w:szCs w:val="24"/>
        </w:rPr>
        <w:t xml:space="preserve">Testing </w:t>
      </w:r>
      <w:r>
        <w:rPr>
          <w:rFonts w:asciiTheme="majorHAnsi" w:hAnsiTheme="majorHAnsi"/>
          <w:sz w:val="24"/>
          <w:szCs w:val="24"/>
        </w:rPr>
        <w:t>Windows</w:t>
      </w:r>
    </w:p>
    <w:tbl>
      <w:tblPr>
        <w:tblStyle w:val="TableGrid"/>
        <w:tblW w:w="10320" w:type="dxa"/>
        <w:tblInd w:w="-605" w:type="dxa"/>
        <w:tblLook w:val="04A0" w:firstRow="1" w:lastRow="0" w:firstColumn="1" w:lastColumn="0" w:noHBand="0" w:noVBand="1"/>
      </w:tblPr>
      <w:tblGrid>
        <w:gridCol w:w="1165"/>
        <w:gridCol w:w="3240"/>
        <w:gridCol w:w="2970"/>
        <w:gridCol w:w="2945"/>
      </w:tblGrid>
      <w:tr w:rsidR="009F410B" w14:paraId="3FB417B5" w14:textId="66AF173E" w:rsidTr="007A4B30">
        <w:tc>
          <w:tcPr>
            <w:tcW w:w="1165" w:type="dxa"/>
          </w:tcPr>
          <w:p w14:paraId="4EC64C7C" w14:textId="7B7F0BFF" w:rsidR="009F410B" w:rsidRDefault="009F410B" w:rsidP="009F410B">
            <w:pPr>
              <w:jc w:val="center"/>
              <w:rPr>
                <w:rFonts w:asciiTheme="majorHAnsi" w:hAnsiTheme="majorHAnsi"/>
                <w:sz w:val="24"/>
                <w:szCs w:val="24"/>
              </w:rPr>
            </w:pPr>
          </w:p>
        </w:tc>
        <w:tc>
          <w:tcPr>
            <w:tcW w:w="3240" w:type="dxa"/>
          </w:tcPr>
          <w:p w14:paraId="2870FED3" w14:textId="35E2B002" w:rsidR="009F410B" w:rsidRDefault="009F410B" w:rsidP="009F410B">
            <w:pPr>
              <w:jc w:val="center"/>
              <w:rPr>
                <w:rFonts w:asciiTheme="majorHAnsi" w:hAnsiTheme="majorHAnsi"/>
                <w:sz w:val="24"/>
                <w:szCs w:val="24"/>
              </w:rPr>
            </w:pPr>
            <w:r>
              <w:rPr>
                <w:rFonts w:asciiTheme="majorHAnsi" w:hAnsiTheme="majorHAnsi"/>
                <w:sz w:val="24"/>
                <w:szCs w:val="24"/>
              </w:rPr>
              <w:t>3</w:t>
            </w:r>
            <w:r w:rsidRPr="009F410B">
              <w:rPr>
                <w:rFonts w:asciiTheme="majorHAnsi" w:hAnsiTheme="majorHAnsi"/>
                <w:sz w:val="24"/>
                <w:szCs w:val="24"/>
                <w:vertAlign w:val="superscript"/>
              </w:rPr>
              <w:t>rd</w:t>
            </w:r>
            <w:r>
              <w:rPr>
                <w:rFonts w:asciiTheme="majorHAnsi" w:hAnsiTheme="majorHAnsi"/>
                <w:sz w:val="24"/>
                <w:szCs w:val="24"/>
              </w:rPr>
              <w:t xml:space="preserve">  Grade</w:t>
            </w:r>
          </w:p>
        </w:tc>
        <w:tc>
          <w:tcPr>
            <w:tcW w:w="2970" w:type="dxa"/>
          </w:tcPr>
          <w:p w14:paraId="11ECACF6" w14:textId="316C0EBF" w:rsidR="009F410B" w:rsidRDefault="009F410B" w:rsidP="009F410B">
            <w:pPr>
              <w:jc w:val="center"/>
              <w:rPr>
                <w:rFonts w:asciiTheme="majorHAnsi" w:hAnsiTheme="majorHAnsi"/>
                <w:sz w:val="24"/>
                <w:szCs w:val="24"/>
              </w:rPr>
            </w:pPr>
            <w:r>
              <w:rPr>
                <w:rFonts w:asciiTheme="majorHAnsi" w:hAnsiTheme="majorHAnsi"/>
                <w:sz w:val="24"/>
                <w:szCs w:val="24"/>
              </w:rPr>
              <w:t>4</w:t>
            </w:r>
            <w:r w:rsidRPr="009F410B">
              <w:rPr>
                <w:rFonts w:asciiTheme="majorHAnsi" w:hAnsiTheme="majorHAnsi"/>
                <w:sz w:val="24"/>
                <w:szCs w:val="24"/>
                <w:vertAlign w:val="superscript"/>
              </w:rPr>
              <w:t>th</w:t>
            </w:r>
            <w:r>
              <w:rPr>
                <w:rFonts w:asciiTheme="majorHAnsi" w:hAnsiTheme="majorHAnsi"/>
                <w:sz w:val="24"/>
                <w:szCs w:val="24"/>
              </w:rPr>
              <w:t xml:space="preserve"> Grade</w:t>
            </w:r>
          </w:p>
        </w:tc>
        <w:tc>
          <w:tcPr>
            <w:tcW w:w="2945" w:type="dxa"/>
          </w:tcPr>
          <w:p w14:paraId="661BA2BA" w14:textId="57A64D9A" w:rsidR="009F410B" w:rsidRDefault="009F410B" w:rsidP="009F410B">
            <w:pPr>
              <w:jc w:val="center"/>
              <w:rPr>
                <w:rFonts w:asciiTheme="majorHAnsi" w:hAnsiTheme="majorHAnsi"/>
                <w:sz w:val="24"/>
                <w:szCs w:val="24"/>
              </w:rPr>
            </w:pPr>
            <w:r>
              <w:rPr>
                <w:rFonts w:asciiTheme="majorHAnsi" w:hAnsiTheme="majorHAnsi"/>
                <w:sz w:val="24"/>
                <w:szCs w:val="24"/>
              </w:rPr>
              <w:t>5</w:t>
            </w:r>
            <w:r w:rsidRPr="009F410B">
              <w:rPr>
                <w:rFonts w:asciiTheme="majorHAnsi" w:hAnsiTheme="majorHAnsi"/>
                <w:sz w:val="24"/>
                <w:szCs w:val="24"/>
                <w:vertAlign w:val="superscript"/>
              </w:rPr>
              <w:t>th</w:t>
            </w:r>
            <w:r>
              <w:rPr>
                <w:rFonts w:asciiTheme="majorHAnsi" w:hAnsiTheme="majorHAnsi"/>
                <w:sz w:val="24"/>
                <w:szCs w:val="24"/>
              </w:rPr>
              <w:t xml:space="preserve"> Grade</w:t>
            </w:r>
          </w:p>
        </w:tc>
      </w:tr>
      <w:tr w:rsidR="009F410B" w14:paraId="08F2E0EC" w14:textId="4D3EA76A" w:rsidTr="007A4B30">
        <w:tc>
          <w:tcPr>
            <w:tcW w:w="1165" w:type="dxa"/>
          </w:tcPr>
          <w:p w14:paraId="6DDDC45C" w14:textId="04F4B46D" w:rsidR="009F410B" w:rsidRDefault="009F410B" w:rsidP="009F410B">
            <w:pPr>
              <w:jc w:val="center"/>
              <w:rPr>
                <w:rFonts w:asciiTheme="majorHAnsi" w:hAnsiTheme="majorHAnsi"/>
                <w:sz w:val="24"/>
                <w:szCs w:val="24"/>
              </w:rPr>
            </w:pPr>
            <w:r>
              <w:rPr>
                <w:rFonts w:asciiTheme="majorHAnsi" w:hAnsiTheme="majorHAnsi"/>
                <w:sz w:val="24"/>
                <w:szCs w:val="24"/>
              </w:rPr>
              <w:t>Fall</w:t>
            </w:r>
          </w:p>
        </w:tc>
        <w:tc>
          <w:tcPr>
            <w:tcW w:w="3240" w:type="dxa"/>
          </w:tcPr>
          <w:p w14:paraId="6A76AE5A" w14:textId="77777777" w:rsidR="00465665" w:rsidRDefault="00465665" w:rsidP="00465665">
            <w:pPr>
              <w:rPr>
                <w:rFonts w:asciiTheme="majorHAnsi" w:hAnsiTheme="majorHAnsi"/>
                <w:sz w:val="24"/>
                <w:szCs w:val="24"/>
              </w:rPr>
            </w:pPr>
            <w:r>
              <w:rPr>
                <w:rFonts w:asciiTheme="majorHAnsi" w:hAnsiTheme="majorHAnsi"/>
                <w:sz w:val="24"/>
                <w:szCs w:val="24"/>
              </w:rPr>
              <w:t xml:space="preserve">Reading:     </w:t>
            </w:r>
          </w:p>
          <w:p w14:paraId="6FC2F5E8" w14:textId="2A0BF82A" w:rsidR="009F410B" w:rsidRDefault="00465665" w:rsidP="00465665">
            <w:pPr>
              <w:rPr>
                <w:rFonts w:asciiTheme="majorHAnsi" w:hAnsiTheme="majorHAnsi"/>
                <w:sz w:val="24"/>
                <w:szCs w:val="24"/>
              </w:rPr>
            </w:pPr>
            <w:r>
              <w:rPr>
                <w:rFonts w:asciiTheme="majorHAnsi" w:hAnsiTheme="majorHAnsi"/>
                <w:sz w:val="24"/>
                <w:szCs w:val="24"/>
              </w:rPr>
              <w:t>Math:               Oct</w:t>
            </w:r>
            <w:r w:rsidR="007A4B30">
              <w:rPr>
                <w:rFonts w:asciiTheme="majorHAnsi" w:hAnsiTheme="majorHAnsi"/>
                <w:sz w:val="24"/>
                <w:szCs w:val="24"/>
              </w:rPr>
              <w:t>.</w:t>
            </w:r>
            <w:r>
              <w:rPr>
                <w:rFonts w:asciiTheme="majorHAnsi" w:hAnsiTheme="majorHAnsi"/>
                <w:sz w:val="24"/>
                <w:szCs w:val="24"/>
              </w:rPr>
              <w:t xml:space="preserve"> 15  </w:t>
            </w:r>
          </w:p>
        </w:tc>
        <w:tc>
          <w:tcPr>
            <w:tcW w:w="2970" w:type="dxa"/>
          </w:tcPr>
          <w:p w14:paraId="4D607750" w14:textId="77777777" w:rsidR="009F410B" w:rsidRDefault="00465665" w:rsidP="00465665">
            <w:pPr>
              <w:rPr>
                <w:rFonts w:asciiTheme="majorHAnsi" w:hAnsiTheme="majorHAnsi"/>
                <w:sz w:val="24"/>
                <w:szCs w:val="24"/>
              </w:rPr>
            </w:pPr>
            <w:r>
              <w:rPr>
                <w:rFonts w:asciiTheme="majorHAnsi" w:hAnsiTheme="majorHAnsi"/>
                <w:sz w:val="24"/>
                <w:szCs w:val="24"/>
              </w:rPr>
              <w:t xml:space="preserve">Reading:  </w:t>
            </w:r>
          </w:p>
          <w:p w14:paraId="2560ADA9" w14:textId="0CF1CCCD" w:rsidR="00465665" w:rsidRDefault="00465665" w:rsidP="00465665">
            <w:pPr>
              <w:rPr>
                <w:rFonts w:asciiTheme="majorHAnsi" w:hAnsiTheme="majorHAnsi"/>
                <w:sz w:val="24"/>
                <w:szCs w:val="24"/>
              </w:rPr>
            </w:pPr>
            <w:r>
              <w:rPr>
                <w:rFonts w:asciiTheme="majorHAnsi" w:hAnsiTheme="majorHAnsi"/>
                <w:sz w:val="24"/>
                <w:szCs w:val="24"/>
              </w:rPr>
              <w:t>Math:           Oct</w:t>
            </w:r>
            <w:r w:rsidR="007A4B30">
              <w:rPr>
                <w:rFonts w:asciiTheme="majorHAnsi" w:hAnsiTheme="majorHAnsi"/>
                <w:sz w:val="24"/>
                <w:szCs w:val="24"/>
              </w:rPr>
              <w:t>.</w:t>
            </w:r>
            <w:r>
              <w:rPr>
                <w:rFonts w:asciiTheme="majorHAnsi" w:hAnsiTheme="majorHAnsi"/>
                <w:sz w:val="24"/>
                <w:szCs w:val="24"/>
              </w:rPr>
              <w:t xml:space="preserve"> 15</w:t>
            </w:r>
          </w:p>
        </w:tc>
        <w:tc>
          <w:tcPr>
            <w:tcW w:w="2945" w:type="dxa"/>
          </w:tcPr>
          <w:p w14:paraId="015D1A83" w14:textId="77777777" w:rsidR="009F410B" w:rsidRDefault="007A4B30" w:rsidP="00465665">
            <w:pPr>
              <w:rPr>
                <w:rFonts w:asciiTheme="majorHAnsi" w:hAnsiTheme="majorHAnsi"/>
                <w:sz w:val="24"/>
                <w:szCs w:val="24"/>
              </w:rPr>
            </w:pPr>
            <w:r>
              <w:rPr>
                <w:rFonts w:asciiTheme="majorHAnsi" w:hAnsiTheme="majorHAnsi"/>
                <w:sz w:val="24"/>
                <w:szCs w:val="24"/>
              </w:rPr>
              <w:t xml:space="preserve">Reading:  </w:t>
            </w:r>
          </w:p>
          <w:p w14:paraId="025AB5CE" w14:textId="77777777" w:rsidR="007A4B30" w:rsidRDefault="007A4B30" w:rsidP="00465665">
            <w:pPr>
              <w:rPr>
                <w:rFonts w:asciiTheme="majorHAnsi" w:hAnsiTheme="majorHAnsi"/>
                <w:sz w:val="24"/>
                <w:szCs w:val="24"/>
              </w:rPr>
            </w:pPr>
            <w:r>
              <w:rPr>
                <w:rFonts w:asciiTheme="majorHAnsi" w:hAnsiTheme="majorHAnsi"/>
                <w:sz w:val="24"/>
                <w:szCs w:val="24"/>
              </w:rPr>
              <w:t>Math:          Oct. 15</w:t>
            </w:r>
          </w:p>
          <w:p w14:paraId="77A97249" w14:textId="687E53EA" w:rsidR="007A4B30" w:rsidRDefault="007A4B30" w:rsidP="00465665">
            <w:pPr>
              <w:rPr>
                <w:rFonts w:asciiTheme="majorHAnsi" w:hAnsiTheme="majorHAnsi"/>
                <w:sz w:val="24"/>
                <w:szCs w:val="24"/>
              </w:rPr>
            </w:pPr>
            <w:r>
              <w:rPr>
                <w:rFonts w:asciiTheme="majorHAnsi" w:hAnsiTheme="majorHAnsi"/>
                <w:sz w:val="24"/>
                <w:szCs w:val="24"/>
              </w:rPr>
              <w:t>Science:    Oct. 16</w:t>
            </w:r>
          </w:p>
        </w:tc>
      </w:tr>
      <w:tr w:rsidR="009F410B" w14:paraId="3A60BE06" w14:textId="3A92401F" w:rsidTr="007A4B30">
        <w:tc>
          <w:tcPr>
            <w:tcW w:w="1165" w:type="dxa"/>
          </w:tcPr>
          <w:p w14:paraId="264948D8" w14:textId="335F72C1" w:rsidR="009F410B" w:rsidRDefault="009F410B" w:rsidP="009F410B">
            <w:pPr>
              <w:jc w:val="center"/>
              <w:rPr>
                <w:rFonts w:asciiTheme="majorHAnsi" w:hAnsiTheme="majorHAnsi"/>
                <w:sz w:val="24"/>
                <w:szCs w:val="24"/>
              </w:rPr>
            </w:pPr>
            <w:r>
              <w:rPr>
                <w:rFonts w:asciiTheme="majorHAnsi" w:hAnsiTheme="majorHAnsi"/>
                <w:sz w:val="24"/>
                <w:szCs w:val="24"/>
              </w:rPr>
              <w:t>Winter</w:t>
            </w:r>
          </w:p>
        </w:tc>
        <w:tc>
          <w:tcPr>
            <w:tcW w:w="3240" w:type="dxa"/>
          </w:tcPr>
          <w:p w14:paraId="07EF6641" w14:textId="4923C0AB" w:rsidR="009F410B" w:rsidRDefault="00465665" w:rsidP="00465665">
            <w:pPr>
              <w:rPr>
                <w:rFonts w:asciiTheme="majorHAnsi" w:hAnsiTheme="majorHAnsi"/>
                <w:sz w:val="24"/>
                <w:szCs w:val="24"/>
              </w:rPr>
            </w:pPr>
            <w:r>
              <w:rPr>
                <w:rFonts w:asciiTheme="majorHAnsi" w:hAnsiTheme="majorHAnsi"/>
                <w:sz w:val="24"/>
                <w:szCs w:val="24"/>
              </w:rPr>
              <w:t>Reading:         Jan. 7 – Feb. 7</w:t>
            </w:r>
          </w:p>
          <w:p w14:paraId="647C3B37" w14:textId="4CBE3E9A" w:rsidR="00465665" w:rsidRDefault="00465665" w:rsidP="00465665">
            <w:pPr>
              <w:rPr>
                <w:rFonts w:asciiTheme="majorHAnsi" w:hAnsiTheme="majorHAnsi"/>
                <w:sz w:val="24"/>
                <w:szCs w:val="24"/>
              </w:rPr>
            </w:pPr>
            <w:r>
              <w:rPr>
                <w:rFonts w:asciiTheme="majorHAnsi" w:hAnsiTheme="majorHAnsi"/>
                <w:sz w:val="24"/>
                <w:szCs w:val="24"/>
              </w:rPr>
              <w:t>Math:               Jan. 8 – Jan. 31</w:t>
            </w:r>
          </w:p>
        </w:tc>
        <w:tc>
          <w:tcPr>
            <w:tcW w:w="2970" w:type="dxa"/>
          </w:tcPr>
          <w:p w14:paraId="564104E4" w14:textId="77777777" w:rsidR="00465665" w:rsidRDefault="00465665" w:rsidP="00465665">
            <w:pPr>
              <w:rPr>
                <w:rFonts w:asciiTheme="majorHAnsi" w:hAnsiTheme="majorHAnsi"/>
                <w:sz w:val="24"/>
                <w:szCs w:val="24"/>
              </w:rPr>
            </w:pPr>
            <w:r>
              <w:rPr>
                <w:rFonts w:asciiTheme="majorHAnsi" w:hAnsiTheme="majorHAnsi"/>
                <w:sz w:val="24"/>
                <w:szCs w:val="24"/>
              </w:rPr>
              <w:t>Reading:     Dec. 16 – Jan. 24</w:t>
            </w:r>
          </w:p>
          <w:p w14:paraId="0CF8A864" w14:textId="02078D52" w:rsidR="009F410B" w:rsidRDefault="00465665" w:rsidP="00465665">
            <w:pPr>
              <w:rPr>
                <w:rFonts w:asciiTheme="majorHAnsi" w:hAnsiTheme="majorHAnsi"/>
                <w:sz w:val="24"/>
                <w:szCs w:val="24"/>
              </w:rPr>
            </w:pPr>
            <w:r>
              <w:rPr>
                <w:rFonts w:asciiTheme="majorHAnsi" w:hAnsiTheme="majorHAnsi"/>
                <w:sz w:val="24"/>
                <w:szCs w:val="24"/>
              </w:rPr>
              <w:t>Math</w:t>
            </w:r>
            <w:r w:rsidR="007A4B30">
              <w:rPr>
                <w:rFonts w:asciiTheme="majorHAnsi" w:hAnsiTheme="majorHAnsi"/>
                <w:sz w:val="24"/>
                <w:szCs w:val="24"/>
              </w:rPr>
              <w:t>:            Jan. 13 – Feb. 7</w:t>
            </w:r>
          </w:p>
        </w:tc>
        <w:tc>
          <w:tcPr>
            <w:tcW w:w="2945" w:type="dxa"/>
          </w:tcPr>
          <w:p w14:paraId="716DA305" w14:textId="31FE4AD7" w:rsidR="009F410B" w:rsidRDefault="007A4B30" w:rsidP="00465665">
            <w:pPr>
              <w:rPr>
                <w:rFonts w:asciiTheme="majorHAnsi" w:hAnsiTheme="majorHAnsi"/>
                <w:sz w:val="24"/>
                <w:szCs w:val="24"/>
              </w:rPr>
            </w:pPr>
            <w:r>
              <w:rPr>
                <w:rFonts w:asciiTheme="majorHAnsi" w:hAnsiTheme="majorHAnsi"/>
                <w:sz w:val="24"/>
                <w:szCs w:val="24"/>
              </w:rPr>
              <w:t>Reading:     Dec. 15 – Jan. 24</w:t>
            </w:r>
          </w:p>
          <w:p w14:paraId="565F85A1" w14:textId="77777777" w:rsidR="007A4B30" w:rsidRDefault="007A4B30" w:rsidP="00465665">
            <w:pPr>
              <w:rPr>
                <w:rFonts w:asciiTheme="majorHAnsi" w:hAnsiTheme="majorHAnsi"/>
                <w:sz w:val="24"/>
                <w:szCs w:val="24"/>
              </w:rPr>
            </w:pPr>
            <w:r>
              <w:rPr>
                <w:rFonts w:asciiTheme="majorHAnsi" w:hAnsiTheme="majorHAnsi"/>
                <w:sz w:val="24"/>
                <w:szCs w:val="24"/>
              </w:rPr>
              <w:t>Math:            Dec. 16 – Jan. 17</w:t>
            </w:r>
          </w:p>
          <w:p w14:paraId="17B2CACB" w14:textId="78072C18" w:rsidR="007A4B30" w:rsidRDefault="007A4B30" w:rsidP="00465665">
            <w:pPr>
              <w:rPr>
                <w:rFonts w:asciiTheme="majorHAnsi" w:hAnsiTheme="majorHAnsi"/>
                <w:sz w:val="24"/>
                <w:szCs w:val="24"/>
              </w:rPr>
            </w:pPr>
            <w:r>
              <w:rPr>
                <w:rFonts w:asciiTheme="majorHAnsi" w:hAnsiTheme="majorHAnsi"/>
                <w:sz w:val="24"/>
                <w:szCs w:val="24"/>
              </w:rPr>
              <w:t>Science:      Jan. 21 – Feb. 5</w:t>
            </w:r>
          </w:p>
        </w:tc>
      </w:tr>
      <w:tr w:rsidR="009F410B" w14:paraId="1BE8050A" w14:textId="411A85F1" w:rsidTr="007A4B30">
        <w:tc>
          <w:tcPr>
            <w:tcW w:w="1165" w:type="dxa"/>
          </w:tcPr>
          <w:p w14:paraId="31D1D3FE" w14:textId="5954C5ED" w:rsidR="009F410B" w:rsidRDefault="009F410B" w:rsidP="009F410B">
            <w:pPr>
              <w:jc w:val="center"/>
              <w:rPr>
                <w:rFonts w:asciiTheme="majorHAnsi" w:hAnsiTheme="majorHAnsi"/>
                <w:sz w:val="24"/>
                <w:szCs w:val="24"/>
              </w:rPr>
            </w:pPr>
            <w:r>
              <w:rPr>
                <w:rFonts w:asciiTheme="majorHAnsi" w:hAnsiTheme="majorHAnsi"/>
                <w:sz w:val="24"/>
                <w:szCs w:val="24"/>
              </w:rPr>
              <w:t>Spring</w:t>
            </w:r>
          </w:p>
        </w:tc>
        <w:tc>
          <w:tcPr>
            <w:tcW w:w="3240" w:type="dxa"/>
          </w:tcPr>
          <w:p w14:paraId="3359A025" w14:textId="33C80CAA" w:rsidR="009F410B" w:rsidRDefault="00465665" w:rsidP="00465665">
            <w:pPr>
              <w:rPr>
                <w:rFonts w:asciiTheme="majorHAnsi" w:hAnsiTheme="majorHAnsi"/>
                <w:sz w:val="24"/>
                <w:szCs w:val="24"/>
              </w:rPr>
            </w:pPr>
            <w:r>
              <w:rPr>
                <w:rFonts w:asciiTheme="majorHAnsi" w:hAnsiTheme="majorHAnsi"/>
                <w:sz w:val="24"/>
                <w:szCs w:val="24"/>
              </w:rPr>
              <w:t>Reading:         Mar. 19 – Apr. 25</w:t>
            </w:r>
          </w:p>
          <w:p w14:paraId="59BE9861" w14:textId="3C4DE526" w:rsidR="00465665" w:rsidRDefault="00465665" w:rsidP="00465665">
            <w:pPr>
              <w:rPr>
                <w:rFonts w:asciiTheme="majorHAnsi" w:hAnsiTheme="majorHAnsi"/>
                <w:sz w:val="24"/>
                <w:szCs w:val="24"/>
              </w:rPr>
            </w:pPr>
            <w:r>
              <w:rPr>
                <w:rFonts w:asciiTheme="majorHAnsi" w:hAnsiTheme="majorHAnsi"/>
                <w:sz w:val="24"/>
                <w:szCs w:val="24"/>
              </w:rPr>
              <w:t>Math:                Apr. 3 – May 2</w:t>
            </w:r>
          </w:p>
        </w:tc>
        <w:tc>
          <w:tcPr>
            <w:tcW w:w="2970" w:type="dxa"/>
          </w:tcPr>
          <w:p w14:paraId="1B4FE123" w14:textId="77777777" w:rsidR="009F410B" w:rsidRDefault="007A4B30" w:rsidP="00465665">
            <w:pPr>
              <w:rPr>
                <w:rFonts w:asciiTheme="majorHAnsi" w:hAnsiTheme="majorHAnsi"/>
                <w:sz w:val="24"/>
                <w:szCs w:val="24"/>
              </w:rPr>
            </w:pPr>
            <w:r>
              <w:rPr>
                <w:rFonts w:asciiTheme="majorHAnsi" w:hAnsiTheme="majorHAnsi"/>
                <w:sz w:val="24"/>
                <w:szCs w:val="24"/>
              </w:rPr>
              <w:t>Reading:      Mar. 19 – Apr. 25</w:t>
            </w:r>
          </w:p>
          <w:p w14:paraId="7FE8AAA9" w14:textId="168E4A1F" w:rsidR="007A4B30" w:rsidRDefault="007A4B30" w:rsidP="00465665">
            <w:pPr>
              <w:rPr>
                <w:rFonts w:asciiTheme="majorHAnsi" w:hAnsiTheme="majorHAnsi"/>
                <w:sz w:val="24"/>
                <w:szCs w:val="24"/>
              </w:rPr>
            </w:pPr>
            <w:r>
              <w:rPr>
                <w:rFonts w:asciiTheme="majorHAnsi" w:hAnsiTheme="majorHAnsi"/>
                <w:sz w:val="24"/>
                <w:szCs w:val="24"/>
              </w:rPr>
              <w:t>Math:             Apr. 7 – May 2</w:t>
            </w:r>
          </w:p>
        </w:tc>
        <w:tc>
          <w:tcPr>
            <w:tcW w:w="2945" w:type="dxa"/>
          </w:tcPr>
          <w:p w14:paraId="3FBA5AFA" w14:textId="77777777" w:rsidR="009F410B" w:rsidRDefault="007A4B30" w:rsidP="00465665">
            <w:pPr>
              <w:rPr>
                <w:rFonts w:asciiTheme="majorHAnsi" w:hAnsiTheme="majorHAnsi"/>
                <w:sz w:val="24"/>
                <w:szCs w:val="24"/>
              </w:rPr>
            </w:pPr>
            <w:r>
              <w:rPr>
                <w:rFonts w:asciiTheme="majorHAnsi" w:hAnsiTheme="majorHAnsi"/>
                <w:sz w:val="24"/>
                <w:szCs w:val="24"/>
              </w:rPr>
              <w:t>Reading:      Mar. 19 – Apr. 25</w:t>
            </w:r>
          </w:p>
          <w:p w14:paraId="4457EE4F" w14:textId="77777777" w:rsidR="007A4B30" w:rsidRDefault="007A4B30" w:rsidP="00465665">
            <w:pPr>
              <w:rPr>
                <w:rFonts w:asciiTheme="majorHAnsi" w:hAnsiTheme="majorHAnsi"/>
                <w:sz w:val="24"/>
                <w:szCs w:val="24"/>
              </w:rPr>
            </w:pPr>
            <w:r>
              <w:rPr>
                <w:rFonts w:asciiTheme="majorHAnsi" w:hAnsiTheme="majorHAnsi"/>
                <w:sz w:val="24"/>
                <w:szCs w:val="24"/>
              </w:rPr>
              <w:t>Math:             Apr. 7 – May 2</w:t>
            </w:r>
          </w:p>
          <w:p w14:paraId="3191513C" w14:textId="7CF9F324" w:rsidR="007A4B30" w:rsidRDefault="007A4B30" w:rsidP="00465665">
            <w:pPr>
              <w:rPr>
                <w:rFonts w:asciiTheme="majorHAnsi" w:hAnsiTheme="majorHAnsi"/>
                <w:sz w:val="24"/>
                <w:szCs w:val="24"/>
              </w:rPr>
            </w:pPr>
            <w:r>
              <w:rPr>
                <w:rFonts w:asciiTheme="majorHAnsi" w:hAnsiTheme="majorHAnsi"/>
                <w:sz w:val="24"/>
                <w:szCs w:val="24"/>
              </w:rPr>
              <w:t>Science:      Mar. 19 – Apr. 11</w:t>
            </w:r>
          </w:p>
        </w:tc>
      </w:tr>
    </w:tbl>
    <w:p w14:paraId="1616A3C9" w14:textId="77777777" w:rsidR="00117A6C" w:rsidRPr="00155381" w:rsidRDefault="00117A6C">
      <w:pPr>
        <w:rPr>
          <w:rFonts w:asciiTheme="majorHAnsi" w:hAnsiTheme="majorHAnsi"/>
          <w:sz w:val="24"/>
          <w:szCs w:val="24"/>
        </w:rPr>
      </w:pPr>
    </w:p>
    <w:p w14:paraId="03249A37" w14:textId="11AC61F0" w:rsidR="00117A6C" w:rsidRPr="00155381" w:rsidRDefault="00155381" w:rsidP="00155381">
      <w:pPr>
        <w:jc w:val="center"/>
        <w:rPr>
          <w:rFonts w:asciiTheme="majorHAnsi" w:hAnsiTheme="majorHAnsi"/>
          <w:sz w:val="24"/>
          <w:szCs w:val="24"/>
        </w:rPr>
      </w:pPr>
      <w:r>
        <w:rPr>
          <w:rFonts w:asciiTheme="majorHAnsi" w:hAnsiTheme="majorHAnsi"/>
          <w:sz w:val="24"/>
          <w:szCs w:val="24"/>
        </w:rPr>
        <w:t>D.I.B.E.L.S.</w:t>
      </w:r>
    </w:p>
    <w:p w14:paraId="6E932C56" w14:textId="294102D2" w:rsidR="00117A6C" w:rsidRPr="00155381" w:rsidRDefault="00117A6C">
      <w:pPr>
        <w:rPr>
          <w:rFonts w:asciiTheme="majorHAnsi" w:hAnsiTheme="majorHAnsi"/>
          <w:sz w:val="24"/>
          <w:szCs w:val="24"/>
        </w:rPr>
      </w:pPr>
      <w:r w:rsidRPr="00155381">
        <w:rPr>
          <w:rFonts w:asciiTheme="majorHAnsi" w:hAnsiTheme="majorHAnsi" w:cs="Arial"/>
          <w:color w:val="000000"/>
          <w:sz w:val="24"/>
          <w:szCs w:val="24"/>
          <w:shd w:val="clear" w:color="auto" w:fill="FFFFFF"/>
        </w:rPr>
        <w:t>DIBELS ® (Dynamic Indicators of Basic Early Literacy Skills) is a set of procedures and measures for assessing the acquisition of literacy skills. They are designed to be short (one minute) fluency measures that can be used to regularly detect risk and monitor the development of early literacy and early reading skills in kindergarten through eighth grade.</w:t>
      </w:r>
      <w:r w:rsidR="00155381">
        <w:rPr>
          <w:rFonts w:asciiTheme="majorHAnsi" w:hAnsiTheme="majorHAnsi" w:cs="Arial"/>
          <w:color w:val="000000"/>
          <w:sz w:val="24"/>
          <w:szCs w:val="24"/>
          <w:shd w:val="clear" w:color="auto" w:fill="FFFFFF"/>
        </w:rPr>
        <w:t xml:space="preserve">  Our Spanish Immersion students also take the Lectura assessment to determine their readiness in the same areas in Spanish.</w:t>
      </w:r>
    </w:p>
    <w:p w14:paraId="1358C2C1" w14:textId="08C89971" w:rsidR="00117A6C" w:rsidRDefault="00E73E0F" w:rsidP="00155381">
      <w:pPr>
        <w:jc w:val="center"/>
      </w:pPr>
      <w:r>
        <w:t>DIBELS Testing Windows</w:t>
      </w:r>
    </w:p>
    <w:p w14:paraId="26E802C0" w14:textId="4F33E3E4" w:rsidR="00155381" w:rsidRDefault="00155381">
      <w:r>
        <w:t>Beginning of Year (BOY)</w:t>
      </w:r>
      <w:r>
        <w:tab/>
      </w:r>
      <w:r>
        <w:tab/>
      </w:r>
      <w:r>
        <w:tab/>
        <w:t>September 3 – September 23</w:t>
      </w:r>
    </w:p>
    <w:p w14:paraId="6E15C895" w14:textId="20CEAF61" w:rsidR="00155381" w:rsidRDefault="00155381">
      <w:r>
        <w:t>Lectura</w:t>
      </w:r>
      <w:r>
        <w:tab/>
      </w:r>
      <w:r>
        <w:tab/>
      </w:r>
      <w:r>
        <w:tab/>
      </w:r>
      <w:r>
        <w:tab/>
      </w:r>
      <w:r>
        <w:tab/>
      </w:r>
      <w:r>
        <w:tab/>
        <w:t>September 23 – October 24</w:t>
      </w:r>
    </w:p>
    <w:p w14:paraId="6EBC341C" w14:textId="7EFCD06E" w:rsidR="00155381" w:rsidRDefault="00155381">
      <w:r>
        <w:t>Middle of Year (MOY)</w:t>
      </w:r>
      <w:r>
        <w:tab/>
      </w:r>
      <w:r>
        <w:tab/>
      </w:r>
      <w:r>
        <w:tab/>
      </w:r>
      <w:r>
        <w:tab/>
        <w:t>January 13 – February 4</w:t>
      </w:r>
    </w:p>
    <w:p w14:paraId="5CE1F437" w14:textId="17E074A9" w:rsidR="00155381" w:rsidRDefault="00155381">
      <w:r>
        <w:t>Lectura</w:t>
      </w:r>
      <w:r>
        <w:tab/>
      </w:r>
      <w:r>
        <w:tab/>
      </w:r>
      <w:r>
        <w:tab/>
      </w:r>
      <w:r>
        <w:tab/>
      </w:r>
      <w:r>
        <w:tab/>
      </w:r>
      <w:r>
        <w:tab/>
        <w:t>February 5 – March 5</w:t>
      </w:r>
    </w:p>
    <w:p w14:paraId="6A76F5AC" w14:textId="6BD0E2B3" w:rsidR="00155381" w:rsidRDefault="00155381">
      <w:r>
        <w:t>End of Year (EOY)</w:t>
      </w:r>
      <w:r w:rsidR="007A4B30">
        <w:t xml:space="preserve"> </w:t>
      </w:r>
      <w:r w:rsidR="007A4B30">
        <w:tab/>
      </w:r>
      <w:r>
        <w:tab/>
      </w:r>
      <w:r>
        <w:tab/>
      </w:r>
      <w:r>
        <w:tab/>
        <w:t>May 5 – May 25</w:t>
      </w:r>
    </w:p>
    <w:p w14:paraId="593A161D" w14:textId="2F6AE459" w:rsidR="007A4B30" w:rsidRDefault="007A4B30">
      <w:r>
        <w:lastRenderedPageBreak/>
        <w:t>Lectura</w:t>
      </w:r>
      <w:r>
        <w:tab/>
      </w:r>
      <w:r>
        <w:tab/>
      </w:r>
      <w:r>
        <w:tab/>
      </w:r>
      <w:r>
        <w:tab/>
      </w:r>
      <w:r>
        <w:tab/>
      </w:r>
      <w:r>
        <w:tab/>
        <w:t>May 5 – May 25</w:t>
      </w:r>
    </w:p>
    <w:p w14:paraId="20F54E61" w14:textId="28E384F0" w:rsidR="007A4B30" w:rsidRDefault="007A4B30"/>
    <w:p w14:paraId="4881FF40" w14:textId="06C1084B" w:rsidR="007A4B30" w:rsidRDefault="000303D9" w:rsidP="00284364">
      <w:pPr>
        <w:jc w:val="center"/>
      </w:pPr>
      <w:r>
        <w:t xml:space="preserve">State Testing &amp; </w:t>
      </w:r>
      <w:r w:rsidR="007A4B30">
        <w:t>End of Grade Testing Schedule</w:t>
      </w:r>
    </w:p>
    <w:p w14:paraId="48092D5B" w14:textId="64B0577C" w:rsidR="000303D9" w:rsidRDefault="000303D9" w:rsidP="000303D9">
      <w:r>
        <w:t>First 30 Days of School</w:t>
      </w:r>
      <w:r w:rsidR="002142F8">
        <w:tab/>
      </w:r>
      <w:r w:rsidR="002142F8">
        <w:tab/>
      </w:r>
      <w:r w:rsidR="002142F8">
        <w:tab/>
      </w:r>
      <w:r w:rsidR="002142F8">
        <w:tab/>
      </w:r>
      <w:r w:rsidR="002142F8">
        <w:tab/>
        <w:t>WIDA (EL Students only)</w:t>
      </w:r>
    </w:p>
    <w:p w14:paraId="6D3E7C0C" w14:textId="1CBA0442" w:rsidR="002142F8" w:rsidRDefault="002142F8" w:rsidP="000303D9">
      <w:r>
        <w:t>September 12</w:t>
      </w:r>
      <w:r>
        <w:tab/>
      </w:r>
      <w:r>
        <w:tab/>
      </w:r>
      <w:r>
        <w:tab/>
      </w:r>
      <w:r>
        <w:tab/>
      </w:r>
      <w:r>
        <w:tab/>
      </w:r>
      <w:r>
        <w:tab/>
      </w:r>
      <w:r w:rsidR="00141E04">
        <w:t>3</w:t>
      </w:r>
      <w:r w:rsidR="00141E04" w:rsidRPr="00141E04">
        <w:rPr>
          <w:vertAlign w:val="superscript"/>
        </w:rPr>
        <w:t>rd</w:t>
      </w:r>
      <w:r w:rsidR="00141E04">
        <w:t xml:space="preserve"> </w:t>
      </w:r>
      <w:r w:rsidR="00A521B8">
        <w:t>Grade Beginning</w:t>
      </w:r>
      <w:r>
        <w:t xml:space="preserve"> of Grade Testing (BOG)</w:t>
      </w:r>
    </w:p>
    <w:p w14:paraId="64674E8B" w14:textId="7F6C0901" w:rsidR="00141E04" w:rsidRDefault="00141E04" w:rsidP="000303D9">
      <w:r>
        <w:t>October 8</w:t>
      </w:r>
      <w:r>
        <w:tab/>
      </w:r>
      <w:r>
        <w:tab/>
      </w:r>
      <w:r>
        <w:tab/>
      </w:r>
      <w:r>
        <w:tab/>
      </w:r>
      <w:r>
        <w:tab/>
      </w:r>
      <w:r>
        <w:tab/>
        <w:t>Read to Achieve (4</w:t>
      </w:r>
      <w:r w:rsidRPr="00141E04">
        <w:rPr>
          <w:vertAlign w:val="superscript"/>
        </w:rPr>
        <w:t>th</w:t>
      </w:r>
      <w:r>
        <w:t xml:space="preserve"> Grade </w:t>
      </w:r>
      <w:r w:rsidR="00B13A0C">
        <w:t>students)</w:t>
      </w:r>
    </w:p>
    <w:p w14:paraId="65CC4507" w14:textId="18317EDD" w:rsidR="00B13A0C" w:rsidRDefault="00B13A0C" w:rsidP="000303D9">
      <w:r>
        <w:t>May 29</w:t>
      </w:r>
      <w:r>
        <w:tab/>
      </w:r>
      <w:r>
        <w:tab/>
      </w:r>
      <w:r>
        <w:tab/>
      </w:r>
      <w:r>
        <w:tab/>
      </w:r>
      <w:r>
        <w:tab/>
      </w:r>
      <w:r>
        <w:tab/>
      </w:r>
      <w:r>
        <w:tab/>
        <w:t>Reading EOG</w:t>
      </w:r>
      <w:r w:rsidR="00C476B6">
        <w:t xml:space="preserve"> (3</w:t>
      </w:r>
      <w:r w:rsidR="00C476B6" w:rsidRPr="00C476B6">
        <w:rPr>
          <w:vertAlign w:val="superscript"/>
        </w:rPr>
        <w:t>rd</w:t>
      </w:r>
      <w:r w:rsidR="00C476B6">
        <w:t xml:space="preserve"> – 5</w:t>
      </w:r>
      <w:r w:rsidR="00C476B6" w:rsidRPr="00C476B6">
        <w:rPr>
          <w:vertAlign w:val="superscript"/>
        </w:rPr>
        <w:t>th</w:t>
      </w:r>
      <w:r w:rsidR="00C476B6">
        <w:t xml:space="preserve"> Grade</w:t>
      </w:r>
      <w:r w:rsidR="00445998">
        <w:t>s</w:t>
      </w:r>
      <w:r w:rsidR="00C476B6">
        <w:t>)</w:t>
      </w:r>
    </w:p>
    <w:p w14:paraId="4A8E6FBC" w14:textId="783B5B7B" w:rsidR="00C476B6" w:rsidRDefault="00445998" w:rsidP="000303D9">
      <w:r>
        <w:t>June 3</w:t>
      </w:r>
      <w:r>
        <w:tab/>
      </w:r>
      <w:r>
        <w:tab/>
      </w:r>
      <w:r>
        <w:tab/>
      </w:r>
      <w:r>
        <w:tab/>
      </w:r>
      <w:r>
        <w:tab/>
      </w:r>
      <w:r>
        <w:tab/>
      </w:r>
      <w:r>
        <w:tab/>
        <w:t>Math EOG (3</w:t>
      </w:r>
      <w:r w:rsidRPr="00445998">
        <w:rPr>
          <w:vertAlign w:val="superscript"/>
        </w:rPr>
        <w:t>rd</w:t>
      </w:r>
      <w:r>
        <w:t xml:space="preserve"> – 5th Grades)</w:t>
      </w:r>
    </w:p>
    <w:p w14:paraId="3824562E" w14:textId="748FB3B3" w:rsidR="006D7C1A" w:rsidRDefault="006D7C1A" w:rsidP="000303D9">
      <w:r>
        <w:t>June 4</w:t>
      </w:r>
      <w:r>
        <w:tab/>
      </w:r>
      <w:r>
        <w:tab/>
      </w:r>
      <w:r>
        <w:tab/>
      </w:r>
      <w:r>
        <w:tab/>
      </w:r>
      <w:r>
        <w:tab/>
      </w:r>
      <w:r>
        <w:tab/>
      </w:r>
      <w:r>
        <w:tab/>
        <w:t>Science</w:t>
      </w:r>
      <w:r w:rsidR="004C004E">
        <w:t xml:space="preserve"> </w:t>
      </w:r>
      <w:r w:rsidR="00A1034C">
        <w:t>(</w:t>
      </w:r>
      <w:r w:rsidR="004C004E">
        <w:t>5</w:t>
      </w:r>
      <w:r w:rsidR="004C004E" w:rsidRPr="004C004E">
        <w:rPr>
          <w:vertAlign w:val="superscript"/>
        </w:rPr>
        <w:t>th</w:t>
      </w:r>
      <w:r w:rsidR="004C004E">
        <w:t xml:space="preserve"> Grade</w:t>
      </w:r>
      <w:r w:rsidR="00A1034C">
        <w:t xml:space="preserve"> only)</w:t>
      </w:r>
    </w:p>
    <w:p w14:paraId="33097963" w14:textId="0C7EB121" w:rsidR="004C004E" w:rsidRDefault="004C004E" w:rsidP="000303D9">
      <w:r>
        <w:t>June 4</w:t>
      </w:r>
      <w:r>
        <w:tab/>
      </w:r>
      <w:r>
        <w:tab/>
      </w:r>
      <w:r>
        <w:tab/>
      </w:r>
      <w:r>
        <w:tab/>
      </w:r>
      <w:r>
        <w:tab/>
      </w:r>
      <w:r>
        <w:tab/>
      </w:r>
      <w:r>
        <w:tab/>
        <w:t xml:space="preserve">Read to Achieve </w:t>
      </w:r>
      <w:r w:rsidR="00A1034C">
        <w:t>(3</w:t>
      </w:r>
      <w:r w:rsidR="00A1034C" w:rsidRPr="00A1034C">
        <w:rPr>
          <w:vertAlign w:val="superscript"/>
        </w:rPr>
        <w:t>rd</w:t>
      </w:r>
      <w:r w:rsidR="00A1034C">
        <w:t xml:space="preserve"> Grade only)</w:t>
      </w:r>
    </w:p>
    <w:p w14:paraId="090DEFE0" w14:textId="1C3F22C4" w:rsidR="00A1034C" w:rsidRDefault="00A521B8" w:rsidP="000303D9">
      <w:r>
        <w:t>June 5</w:t>
      </w:r>
      <w:r>
        <w:tab/>
      </w:r>
      <w:r>
        <w:tab/>
      </w:r>
      <w:r>
        <w:tab/>
      </w:r>
      <w:r>
        <w:tab/>
      </w:r>
      <w:r>
        <w:tab/>
      </w:r>
      <w:r>
        <w:tab/>
      </w:r>
      <w:r>
        <w:tab/>
        <w:t>Make Up Testing</w:t>
      </w:r>
    </w:p>
    <w:p w14:paraId="72813651" w14:textId="77777777" w:rsidR="00284364" w:rsidRDefault="00284364" w:rsidP="00284364"/>
    <w:sectPr w:rsidR="00284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2C"/>
    <w:rsid w:val="000303D9"/>
    <w:rsid w:val="000E2D62"/>
    <w:rsid w:val="0011682C"/>
    <w:rsid w:val="00117A6C"/>
    <w:rsid w:val="00141E04"/>
    <w:rsid w:val="00155381"/>
    <w:rsid w:val="002142F8"/>
    <w:rsid w:val="00284364"/>
    <w:rsid w:val="00445998"/>
    <w:rsid w:val="00465665"/>
    <w:rsid w:val="004C004E"/>
    <w:rsid w:val="005F156C"/>
    <w:rsid w:val="006D7C1A"/>
    <w:rsid w:val="007A4B30"/>
    <w:rsid w:val="00807969"/>
    <w:rsid w:val="009F410B"/>
    <w:rsid w:val="00A1034C"/>
    <w:rsid w:val="00A521B8"/>
    <w:rsid w:val="00B13A0C"/>
    <w:rsid w:val="00C476B6"/>
    <w:rsid w:val="00CD083D"/>
    <w:rsid w:val="00DC1969"/>
    <w:rsid w:val="00E7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85A8"/>
  <w15:chartTrackingRefBased/>
  <w15:docId w15:val="{F10B6C20-6300-4308-A0A6-6BE0B8D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82C"/>
    <w:rPr>
      <w:rFonts w:eastAsiaTheme="majorEastAsia" w:cstheme="majorBidi"/>
      <w:color w:val="272727" w:themeColor="text1" w:themeTint="D8"/>
    </w:rPr>
  </w:style>
  <w:style w:type="paragraph" w:styleId="Title">
    <w:name w:val="Title"/>
    <w:basedOn w:val="Normal"/>
    <w:next w:val="Normal"/>
    <w:link w:val="TitleChar"/>
    <w:uiPriority w:val="10"/>
    <w:qFormat/>
    <w:rsid w:val="00116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82C"/>
    <w:pPr>
      <w:spacing w:before="160"/>
      <w:jc w:val="center"/>
    </w:pPr>
    <w:rPr>
      <w:i/>
      <w:iCs/>
      <w:color w:val="404040" w:themeColor="text1" w:themeTint="BF"/>
    </w:rPr>
  </w:style>
  <w:style w:type="character" w:customStyle="1" w:styleId="QuoteChar">
    <w:name w:val="Quote Char"/>
    <w:basedOn w:val="DefaultParagraphFont"/>
    <w:link w:val="Quote"/>
    <w:uiPriority w:val="29"/>
    <w:rsid w:val="0011682C"/>
    <w:rPr>
      <w:i/>
      <w:iCs/>
      <w:color w:val="404040" w:themeColor="text1" w:themeTint="BF"/>
    </w:rPr>
  </w:style>
  <w:style w:type="paragraph" w:styleId="ListParagraph">
    <w:name w:val="List Paragraph"/>
    <w:basedOn w:val="Normal"/>
    <w:uiPriority w:val="34"/>
    <w:qFormat/>
    <w:rsid w:val="0011682C"/>
    <w:pPr>
      <w:ind w:left="720"/>
      <w:contextualSpacing/>
    </w:pPr>
  </w:style>
  <w:style w:type="character" w:styleId="IntenseEmphasis">
    <w:name w:val="Intense Emphasis"/>
    <w:basedOn w:val="DefaultParagraphFont"/>
    <w:uiPriority w:val="21"/>
    <w:qFormat/>
    <w:rsid w:val="0011682C"/>
    <w:rPr>
      <w:i/>
      <w:iCs/>
      <w:color w:val="0F4761" w:themeColor="accent1" w:themeShade="BF"/>
    </w:rPr>
  </w:style>
  <w:style w:type="paragraph" w:styleId="IntenseQuote">
    <w:name w:val="Intense Quote"/>
    <w:basedOn w:val="Normal"/>
    <w:next w:val="Normal"/>
    <w:link w:val="IntenseQuoteChar"/>
    <w:uiPriority w:val="30"/>
    <w:qFormat/>
    <w:rsid w:val="00116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82C"/>
    <w:rPr>
      <w:i/>
      <w:iCs/>
      <w:color w:val="0F4761" w:themeColor="accent1" w:themeShade="BF"/>
    </w:rPr>
  </w:style>
  <w:style w:type="character" w:styleId="IntenseReference">
    <w:name w:val="Intense Reference"/>
    <w:basedOn w:val="DefaultParagraphFont"/>
    <w:uiPriority w:val="32"/>
    <w:qFormat/>
    <w:rsid w:val="0011682C"/>
    <w:rPr>
      <w:b/>
      <w:bCs/>
      <w:smallCaps/>
      <w:color w:val="0F4761" w:themeColor="accent1" w:themeShade="BF"/>
      <w:spacing w:val="5"/>
    </w:rPr>
  </w:style>
  <w:style w:type="character" w:styleId="Hyperlink">
    <w:name w:val="Hyperlink"/>
    <w:basedOn w:val="DefaultParagraphFont"/>
    <w:uiPriority w:val="99"/>
    <w:unhideWhenUsed/>
    <w:rsid w:val="00E73E0F"/>
    <w:rPr>
      <w:color w:val="467886" w:themeColor="hyperlink"/>
      <w:u w:val="single"/>
    </w:rPr>
  </w:style>
  <w:style w:type="character" w:styleId="UnresolvedMention">
    <w:name w:val="Unresolved Mention"/>
    <w:basedOn w:val="DefaultParagraphFont"/>
    <w:uiPriority w:val="99"/>
    <w:semiHidden/>
    <w:unhideWhenUsed/>
    <w:rsid w:val="00E73E0F"/>
    <w:rPr>
      <w:color w:val="605E5C"/>
      <w:shd w:val="clear" w:color="auto" w:fill="E1DFDD"/>
    </w:rPr>
  </w:style>
  <w:style w:type="table" w:styleId="TableGrid">
    <w:name w:val="Table Grid"/>
    <w:basedOn w:val="TableNormal"/>
    <w:uiPriority w:val="39"/>
    <w:rsid w:val="00E7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Josette J</dc:creator>
  <cp:keywords/>
  <dc:description/>
  <cp:lastModifiedBy>Hamrick, Josette J</cp:lastModifiedBy>
  <cp:revision>12</cp:revision>
  <dcterms:created xsi:type="dcterms:W3CDTF">2024-10-23T16:59:00Z</dcterms:created>
  <dcterms:modified xsi:type="dcterms:W3CDTF">2024-10-24T15:55:00Z</dcterms:modified>
</cp:coreProperties>
</file>